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36FD" w:rsidRPr="007A36FD" w:rsidRDefault="007F1F6A" w:rsidP="007A36FD">
      <w:pPr>
        <w:jc w:val="center"/>
        <w:rPr>
          <w:sz w:val="28"/>
          <w:szCs w:val="28"/>
        </w:rPr>
      </w:pPr>
      <w:r w:rsidRPr="007A36FD">
        <w:rPr>
          <w:sz w:val="28"/>
          <w:szCs w:val="28"/>
        </w:rPr>
        <w:t>о</w:t>
      </w:r>
      <w:r w:rsidR="007A36FD" w:rsidRPr="007A36FD">
        <w:rPr>
          <w:sz w:val="28"/>
          <w:szCs w:val="28"/>
        </w:rPr>
        <w:t xml:space="preserve"> результатах проведенного в 2019</w:t>
      </w:r>
      <w:r w:rsidRPr="007A36FD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A36FD">
        <w:rPr>
          <w:sz w:val="28"/>
          <w:szCs w:val="28"/>
        </w:rPr>
        <w:t xml:space="preserve">экспертизы проекта </w:t>
      </w:r>
      <w:r w:rsidR="007A36FD" w:rsidRPr="007A36FD">
        <w:rPr>
          <w:sz w:val="28"/>
          <w:szCs w:val="28"/>
        </w:rPr>
        <w:t>решения Собрания депутатов</w:t>
      </w:r>
      <w:proofErr w:type="gramEnd"/>
      <w:r w:rsidR="007A36FD" w:rsidRPr="007A36FD">
        <w:rPr>
          <w:sz w:val="28"/>
          <w:szCs w:val="28"/>
        </w:rPr>
        <w:t xml:space="preserve"> Зубцовского района «Об утверждении отчета об исполнении бюджета муниципального образования «Зубцовский район» за 2018 год».</w:t>
      </w:r>
    </w:p>
    <w:p w:rsidR="00811413" w:rsidRPr="007A36FD" w:rsidRDefault="00811413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6D3204" w:rsidRPr="007A36FD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7A36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36FD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A109B" w:rsidRPr="007A36F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 w:rsidRPr="007A36FD">
        <w:rPr>
          <w:rFonts w:ascii="Times New Roman" w:hAnsi="Times New Roman" w:cs="Times New Roman"/>
          <w:b/>
          <w:sz w:val="24"/>
          <w:szCs w:val="24"/>
        </w:rPr>
        <w:t>:</w:t>
      </w:r>
      <w:r w:rsidRPr="007A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7A36FD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</w:t>
      </w:r>
      <w:r w:rsidR="006E6DD1" w:rsidRPr="007A36FD">
        <w:rPr>
          <w:rFonts w:ascii="Times New Roman" w:hAnsi="Times New Roman" w:cs="Times New Roman"/>
          <w:sz w:val="24"/>
          <w:szCs w:val="24"/>
        </w:rPr>
        <w:t>брания</w:t>
      </w:r>
      <w:r w:rsidR="007F1F6A" w:rsidRPr="007A36FD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E6DD1" w:rsidRPr="007A36FD">
        <w:rPr>
          <w:rFonts w:ascii="Times New Roman" w:hAnsi="Times New Roman" w:cs="Times New Roman"/>
          <w:sz w:val="24"/>
          <w:szCs w:val="24"/>
        </w:rPr>
        <w:t>Зубцовского района</w:t>
      </w:r>
      <w:r w:rsidR="007F1F6A" w:rsidRPr="007A36FD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7A36FD" w:rsidRPr="0080114E" w:rsidRDefault="007A36FD" w:rsidP="007A36FD">
      <w:r>
        <w:t xml:space="preserve">               П</w:t>
      </w:r>
      <w:r w:rsidRPr="0080114E">
        <w:t>о данным уточненного бюджета, сумма налоговых и неналоговых доходов планировалась в размере 161 375 876 руб., фактическое исполнение по этой части бюджета составило 149 136 034,27 руб. от запланированной суммы (92,42 %), недовыполнение составило 12 239 841,73 руб. (7,58 %).</w:t>
      </w:r>
    </w:p>
    <w:p w:rsidR="007A36FD" w:rsidRPr="0080114E" w:rsidRDefault="007A36FD" w:rsidP="007A36FD">
      <w:r w:rsidRPr="0080114E">
        <w:t xml:space="preserve">               В общей сумме налоговых и неналоговых доходов в 2018 году по плану приходилось на долю налоговых доходов – 85,24 %, а на долю неналоговых доходов – 14,76 %, фактически на долю налоговых доходов пришлось – 87,70 %, а на долю неналоговых доходов – 12,30 %.</w:t>
      </w:r>
    </w:p>
    <w:p w:rsidR="007A36FD" w:rsidRPr="007A36FD" w:rsidRDefault="007A36FD" w:rsidP="007A3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Pr="007A36FD">
        <w:rPr>
          <w:rFonts w:ascii="Times New Roman" w:hAnsi="Times New Roman" w:cs="Times New Roman"/>
          <w:sz w:val="24"/>
          <w:szCs w:val="24"/>
        </w:rPr>
        <w:t>Сумма налоговых доходов планировалась в размере 137 551 000 руб., фактическое исполнение по этой части бюджета составило 130 790 889,10 руб. (95,09 %), недовыполнение составило 6 760 110,90 руб. (4,91 %).</w:t>
      </w:r>
    </w:p>
    <w:p w:rsidR="007A36FD" w:rsidRPr="007A36FD" w:rsidRDefault="007A36FD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            Сумма неналоговых доходов планировалась в объеме 23 824 876 руб., а фактическое исполнение составило 18 345 145,17 руб. (77,0 %), недовыполнение составило 5 479 730,83 руб. (23,0 %).</w:t>
      </w:r>
    </w:p>
    <w:p w:rsidR="007A36FD" w:rsidRPr="00F3047E" w:rsidRDefault="007A36FD" w:rsidP="007A36FD">
      <w:r>
        <w:t xml:space="preserve">              Безвозмездные поступления</w:t>
      </w:r>
      <w:r w:rsidRPr="00F3047E">
        <w:t xml:space="preserve"> - планировались в объеме 173 521 940 руб., фактическое исполнение составило 191 185 916,85 руб. (110,18 %), рост составил 17 663 976,85 руб. (10,18 %).</w:t>
      </w:r>
    </w:p>
    <w:p w:rsidR="00BF750E" w:rsidRPr="00FF7E2E" w:rsidRDefault="00BF750E" w:rsidP="00BF750E">
      <w:r>
        <w:t xml:space="preserve">              </w:t>
      </w:r>
      <w:r w:rsidRPr="00FF7E2E">
        <w:t>В общей сумме доходов удельный вес:</w:t>
      </w:r>
    </w:p>
    <w:p w:rsidR="00BF750E" w:rsidRPr="00FF7E2E" w:rsidRDefault="00BF750E" w:rsidP="00BF750E">
      <w:r w:rsidRPr="00FF7E2E">
        <w:t xml:space="preserve">                - налоговых доходов: при плане – 41,07 %, фактически составил – 38,43 %, снижение составило – 2,64 %;</w:t>
      </w:r>
    </w:p>
    <w:p w:rsidR="00BF750E" w:rsidRPr="00FF7E2E" w:rsidRDefault="00BF750E" w:rsidP="00BF750E">
      <w:r w:rsidRPr="00FF7E2E">
        <w:t xml:space="preserve">                - неналоговые доходы: при плане – 7,12 %, фактически составил – 5,39 %, снижение составило – 1,73 %;</w:t>
      </w:r>
    </w:p>
    <w:p w:rsidR="00BF750E" w:rsidRPr="00FF7E2E" w:rsidRDefault="00BF750E" w:rsidP="00BF750E">
      <w:r w:rsidRPr="00FF7E2E">
        <w:t xml:space="preserve">                - безвозмездные поступления: при плане – 51,81 %, фактически составил – </w:t>
      </w:r>
    </w:p>
    <w:p w:rsidR="00BF750E" w:rsidRPr="00FF7E2E" w:rsidRDefault="00BF750E" w:rsidP="00BF750E">
      <w:r w:rsidRPr="00FF7E2E">
        <w:t>56,18 %, рост составил – 4,37 %.</w:t>
      </w:r>
    </w:p>
    <w:p w:rsidR="00BF750E" w:rsidRPr="00FF7E2E" w:rsidRDefault="00BF750E" w:rsidP="00BF750E">
      <w:r w:rsidRPr="00FF7E2E">
        <w:t xml:space="preserve">                </w:t>
      </w:r>
    </w:p>
    <w:p w:rsidR="00BF750E" w:rsidRPr="00FF7E2E" w:rsidRDefault="00BF750E" w:rsidP="00BF750E">
      <w:r w:rsidRPr="00FF7E2E">
        <w:t xml:space="preserve">                Расходы бюджета муниципального образования «Зубцовский район» на 2018 год были запланированы в объеме 350 525 038,38 руб., фактическое исполнение составило</w:t>
      </w:r>
    </w:p>
    <w:p w:rsidR="00BF750E" w:rsidRPr="00FF7E2E" w:rsidRDefault="00BF750E" w:rsidP="00BF750E">
      <w:r w:rsidRPr="00FF7E2E">
        <w:t xml:space="preserve">336 116 323,16 руб. (95,89 %), недофинансирование составило 14 408 715,22 руб. (4,11 %).   </w:t>
      </w:r>
    </w:p>
    <w:p w:rsidR="00BF750E" w:rsidRPr="00BF750E" w:rsidRDefault="00BF750E" w:rsidP="00BF750E">
      <w:r w:rsidRPr="00BF750E">
        <w:t xml:space="preserve">                В том числе:</w:t>
      </w:r>
    </w:p>
    <w:p w:rsidR="00BF750E" w:rsidRPr="00CD6792" w:rsidRDefault="00BF750E" w:rsidP="00BF750E">
      <w:r w:rsidRPr="00CD6792">
        <w:t xml:space="preserve">                 По разделу 01 «Общегосударственные вопросы» финансирование расходов  было запланировано в объеме 28 680 760 руб., фактическое исполнение составило</w:t>
      </w:r>
    </w:p>
    <w:p w:rsidR="00BF750E" w:rsidRPr="00CD6792" w:rsidRDefault="00BF750E" w:rsidP="00BF750E">
      <w:r w:rsidRPr="00CD6792">
        <w:t>26 538 398,33 руб. (92,53 %), недофинансирование составило 2 142 361,67 руб. (7,47 %).</w:t>
      </w:r>
    </w:p>
    <w:p w:rsidR="00BF750E" w:rsidRPr="00DD3588" w:rsidRDefault="00BF750E" w:rsidP="00BF750E">
      <w:r>
        <w:t xml:space="preserve">                 </w:t>
      </w:r>
      <w:r w:rsidRPr="00DD3588">
        <w:t xml:space="preserve">По разделу 03 «Национальная безопасность и правоохранительная деятельность» - было запланировано в объеме 2 302 590 руб., фактическое исполнение составило 2 080 856,76 руб.(90,37 %), недофинансирование составило 221 733,24 руб. </w:t>
      </w:r>
    </w:p>
    <w:p w:rsidR="00BF750E" w:rsidRPr="00DD3588" w:rsidRDefault="00BF750E" w:rsidP="00BF750E">
      <w:r w:rsidRPr="00DD3588">
        <w:t>(9,63 %).</w:t>
      </w:r>
    </w:p>
    <w:p w:rsidR="00BF750E" w:rsidRPr="00BA4C93" w:rsidRDefault="00BF750E" w:rsidP="00BF750E">
      <w:r>
        <w:t xml:space="preserve">                </w:t>
      </w:r>
      <w:r w:rsidRPr="00BA4C93">
        <w:t xml:space="preserve">По разделу 04 «Национальная экономика» - было запланировано в объеме </w:t>
      </w:r>
    </w:p>
    <w:p w:rsidR="00BF750E" w:rsidRPr="00BA4C93" w:rsidRDefault="00BF750E" w:rsidP="00BF750E">
      <w:r w:rsidRPr="00BA4C93">
        <w:t>18 836 300 руб., фактическое исполнение составило 17 011 460,12 руб. (90,31 %), недофинансирование составило 1 824 839,88 руб. (9,69 %).</w:t>
      </w:r>
    </w:p>
    <w:p w:rsidR="007A36FD" w:rsidRPr="00BF750E" w:rsidRDefault="00BF750E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750E">
        <w:rPr>
          <w:rFonts w:ascii="Times New Roman" w:hAnsi="Times New Roman" w:cs="Times New Roman"/>
          <w:sz w:val="24"/>
          <w:szCs w:val="24"/>
        </w:rPr>
        <w:t>По разделу 05 «Жилищно-коммунальное хозяйство» - было запланировано в объеме 500 050 руб., фактическое исполнение составило 500 050 руб. (100,0 %).</w:t>
      </w:r>
    </w:p>
    <w:p w:rsidR="00BF750E" w:rsidRPr="00BA4C93" w:rsidRDefault="00BF750E" w:rsidP="00BF750E">
      <w:r>
        <w:t xml:space="preserve">                </w:t>
      </w:r>
      <w:r w:rsidRPr="00BA4C93">
        <w:t xml:space="preserve">По разделу 07 «Образование» - было запланировано в объеме </w:t>
      </w:r>
    </w:p>
    <w:p w:rsidR="00BF750E" w:rsidRDefault="00BF750E" w:rsidP="00BF750E">
      <w:r w:rsidRPr="00BA4C93">
        <w:t>252 094 032,38 руб., фактическое исполнение составило 244 223 548,92 руб. (96,88 %), недофинансирование составило 7 870 483,46 руб. (3,12 %).</w:t>
      </w:r>
    </w:p>
    <w:p w:rsidR="00BF750E" w:rsidRPr="001C2170" w:rsidRDefault="00BF750E" w:rsidP="00BF750E">
      <w:r>
        <w:t xml:space="preserve">                 </w:t>
      </w:r>
      <w:r w:rsidRPr="001C2170">
        <w:t>По разделу 08 «Культура и кинематография» - было запланировано в объеме 31 729 170 руб., фактическое исполнение составило  30 099 532,41 руб. (94,86 %), недофинансирование составило 1 629 637,59 руб. (5,14 %).</w:t>
      </w:r>
    </w:p>
    <w:p w:rsidR="00BF750E" w:rsidRPr="001C2170" w:rsidRDefault="00BF750E" w:rsidP="00BF750E">
      <w:r>
        <w:lastRenderedPageBreak/>
        <w:t xml:space="preserve">                 </w:t>
      </w:r>
      <w:r w:rsidRPr="001C2170">
        <w:t xml:space="preserve">По разделу 10 «Социальная политика» - было запланировано в объеме </w:t>
      </w:r>
    </w:p>
    <w:p w:rsidR="00BF750E" w:rsidRPr="001C2170" w:rsidRDefault="00BF750E" w:rsidP="00BF750E">
      <w:r w:rsidRPr="001C2170">
        <w:t>11 042 500 руб., фактическое исполнение составило 10 349 010,88 руб. (93,72 %), недофинансирование составило 693 489,12 руб. (6,28 %).</w:t>
      </w:r>
    </w:p>
    <w:p w:rsidR="00BF750E" w:rsidRPr="001C2170" w:rsidRDefault="00BF750E" w:rsidP="00BF750E">
      <w:r>
        <w:t xml:space="preserve">                 </w:t>
      </w:r>
      <w:r w:rsidRPr="001C2170">
        <w:t xml:space="preserve">По разделу 11 «Физическая культура и спорт» - было запланировано в объеме 660 000 руб., фактическое исполнение составило 634 529,75 руб. (96,14 %), недофинансирование составило 25 470,25 руб. (3,86 %). </w:t>
      </w:r>
    </w:p>
    <w:p w:rsidR="00BF750E" w:rsidRPr="00875A08" w:rsidRDefault="00BF750E" w:rsidP="00BF750E">
      <w:r>
        <w:t xml:space="preserve">                 </w:t>
      </w:r>
      <w:r w:rsidRPr="00875A08">
        <w:t>По разделу 12 «Средства массовой информации» - было запланировано в объеме 1 336 836 руб., фактическое исполнение составило 1 336 836 руб. (100,0 %).</w:t>
      </w:r>
    </w:p>
    <w:p w:rsidR="00BF750E" w:rsidRPr="00875A08" w:rsidRDefault="00BF750E" w:rsidP="00BF750E">
      <w:r>
        <w:t xml:space="preserve">                 </w:t>
      </w:r>
      <w:r w:rsidRPr="00875A08">
        <w:t xml:space="preserve">По разделу 13 «Обслуживание государственного и муниципального долга» - было запланировано в объеме 3 300 руб., фактическое исполнение составило </w:t>
      </w:r>
    </w:p>
    <w:p w:rsidR="00BF750E" w:rsidRPr="00875A08" w:rsidRDefault="00BF750E" w:rsidP="00BF750E">
      <w:r w:rsidRPr="00875A08">
        <w:t>2 599,99 руб. (78,79 %), недофинансирование составило 700,01 руб. (21,21 %).</w:t>
      </w:r>
    </w:p>
    <w:p w:rsidR="00BF750E" w:rsidRPr="00875A08" w:rsidRDefault="00BF750E" w:rsidP="00BF750E">
      <w:r>
        <w:t xml:space="preserve">                 </w:t>
      </w:r>
      <w:r w:rsidRPr="00875A08">
        <w:t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3 339 500 руб., фактическое исполнение составило 3 339 500 руб. (100,0 %).</w:t>
      </w:r>
    </w:p>
    <w:p w:rsidR="00BF750E" w:rsidRPr="00BA4C93" w:rsidRDefault="00BF750E" w:rsidP="00BF750E"/>
    <w:p w:rsidR="00BF750E" w:rsidRPr="00875A08" w:rsidRDefault="00BF750E" w:rsidP="00BF750E">
      <w:r w:rsidRPr="00875A08">
        <w:t xml:space="preserve">                 В общей сумме расходов удельный вес по разделам:</w:t>
      </w:r>
    </w:p>
    <w:p w:rsidR="00BF750E" w:rsidRPr="00875A08" w:rsidRDefault="00BF750E" w:rsidP="00BF750E">
      <w:r w:rsidRPr="00875A08">
        <w:t xml:space="preserve">                - «Общегосударственные вопросы»: при плане  -  8,182 %, фактически составил – 7,896 %, снижение составило – 0,286 %;</w:t>
      </w:r>
    </w:p>
    <w:p w:rsidR="00BF750E" w:rsidRPr="003E33F4" w:rsidRDefault="00BF750E" w:rsidP="00BF750E">
      <w:r w:rsidRPr="003E33F4">
        <w:t xml:space="preserve">                - «Национальная безопасность и правоохранительная деятельность»: при плане – 0,657 %, фактически составил – 0,619 %, снижение составило – 0,038 %;</w:t>
      </w:r>
    </w:p>
    <w:p w:rsidR="00BF750E" w:rsidRPr="003E33F4" w:rsidRDefault="00BF750E" w:rsidP="00BF750E">
      <w:r w:rsidRPr="003E33F4">
        <w:t xml:space="preserve">                - «Национальная экономика»: при плане – 5,374 %, фактически составил </w:t>
      </w:r>
    </w:p>
    <w:p w:rsidR="00BF750E" w:rsidRPr="003E33F4" w:rsidRDefault="00BF750E" w:rsidP="00BF750E">
      <w:r w:rsidRPr="003E33F4">
        <w:t>–  5,061 %, снижение составило – 0,313 %;</w:t>
      </w:r>
    </w:p>
    <w:p w:rsidR="00BF750E" w:rsidRPr="003E33F4" w:rsidRDefault="00BF750E" w:rsidP="00BF750E">
      <w:r w:rsidRPr="003E33F4">
        <w:t xml:space="preserve">                - «Жилищно-коммунальное хозяйство»: при плане – 0,143 %, фактически составил – 0,149%, рост составил – 0,006 %;</w:t>
      </w:r>
    </w:p>
    <w:p w:rsidR="00BF750E" w:rsidRPr="003E33F4" w:rsidRDefault="00BF750E" w:rsidP="00BF750E">
      <w:r w:rsidRPr="003E33F4">
        <w:t xml:space="preserve">                - «Образование»: при плане – 71,919 %, фактически составил – 72,66 %, рост составил – 0,741 %;</w:t>
      </w:r>
    </w:p>
    <w:p w:rsidR="00BF750E" w:rsidRPr="003E33F4" w:rsidRDefault="00BF750E" w:rsidP="00BF750E">
      <w:r w:rsidRPr="003E33F4">
        <w:t xml:space="preserve">                - «Культура и кинематография»: при плане – 9,052 %, фактически составил – </w:t>
      </w:r>
    </w:p>
    <w:p w:rsidR="00BF750E" w:rsidRPr="003E33F4" w:rsidRDefault="00BF750E" w:rsidP="00BF750E">
      <w:r w:rsidRPr="003E33F4">
        <w:t>8,955 %, снижение составило – 0,097 %;</w:t>
      </w:r>
    </w:p>
    <w:p w:rsidR="00BF750E" w:rsidRPr="003E33F4" w:rsidRDefault="00BF750E" w:rsidP="00BF750E">
      <w:r w:rsidRPr="003E33F4">
        <w:t xml:space="preserve">                - «Социальная политика»: при плане – 3,15 %, фактически составил – 3,079 %, снижение составило – 0,071 %;</w:t>
      </w:r>
    </w:p>
    <w:p w:rsidR="00BF750E" w:rsidRPr="003E33F4" w:rsidRDefault="00BF750E" w:rsidP="00BF750E">
      <w:r w:rsidRPr="003E33F4">
        <w:t xml:space="preserve">                - «Физическая культура и спорт»: при плане – 0,188 %, фактически составил – 0,189 %, рост составил – 0,001 %;</w:t>
      </w:r>
    </w:p>
    <w:p w:rsidR="00BF750E" w:rsidRPr="003E33F4" w:rsidRDefault="00BF750E" w:rsidP="00BF750E">
      <w:r w:rsidRPr="003E33F4">
        <w:t xml:space="preserve">                - «Средства массовой информации»: при плане – 0,381 %, фактически составил – 0,398 %, рост составил – 0,017 %;</w:t>
      </w:r>
    </w:p>
    <w:p w:rsidR="00BF750E" w:rsidRPr="003E33F4" w:rsidRDefault="00BF750E" w:rsidP="00BF750E">
      <w:r w:rsidRPr="003E33F4">
        <w:t xml:space="preserve">                - «Обслуживание государственного и муниципального долга»: при плане – </w:t>
      </w:r>
    </w:p>
    <w:p w:rsidR="00BF750E" w:rsidRPr="003E33F4" w:rsidRDefault="00BF750E" w:rsidP="00BF750E">
      <w:r w:rsidRPr="003E33F4">
        <w:t>0,001 %, фактически составил – 0,001 %;</w:t>
      </w:r>
    </w:p>
    <w:p w:rsidR="00BF750E" w:rsidRPr="0080114E" w:rsidRDefault="00BF750E" w:rsidP="00BF750E">
      <w:pPr>
        <w:rPr>
          <w:color w:val="0000FF"/>
        </w:rPr>
      </w:pPr>
      <w:r w:rsidRPr="003E33F4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0,953 %, фактически составил – 0,993 %, рост составил – 0,04 %.  </w:t>
      </w:r>
      <w:r w:rsidRPr="0080114E">
        <w:rPr>
          <w:color w:val="0000FF"/>
        </w:rPr>
        <w:t xml:space="preserve">   </w:t>
      </w:r>
    </w:p>
    <w:p w:rsidR="00BF750E" w:rsidRPr="003E33F4" w:rsidRDefault="00BF750E" w:rsidP="00BF750E">
      <w:r w:rsidRPr="003E33F4">
        <w:t xml:space="preserve">                Из вышеперечисленного можно сделать вывод, что исполнение бюджета муниципального образования «Зубцовский район» имеет социальную направленность.</w:t>
      </w:r>
    </w:p>
    <w:p w:rsidR="00BF750E" w:rsidRPr="0080114E" w:rsidRDefault="00BF750E" w:rsidP="00BF750E">
      <w:pPr>
        <w:rPr>
          <w:color w:val="0000FF"/>
        </w:rPr>
      </w:pPr>
    </w:p>
    <w:p w:rsidR="00BF750E" w:rsidRPr="00C60B2D" w:rsidRDefault="00BF750E" w:rsidP="00BF750E">
      <w:r w:rsidRPr="00C60B2D">
        <w:rPr>
          <w:b/>
        </w:rPr>
        <w:t xml:space="preserve">               </w:t>
      </w:r>
      <w:r w:rsidRPr="00C60B2D">
        <w:t>Дефицит бюджета муниципального образования Зубцовский район по плану составлял  в размере 4 731 122,38 руб., (6,53 %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BF750E" w:rsidRPr="00357542" w:rsidRDefault="00BF750E" w:rsidP="00BF750E">
      <w:r w:rsidRPr="0080114E">
        <w:rPr>
          <w:color w:val="0000FF"/>
        </w:rPr>
        <w:t xml:space="preserve">               </w:t>
      </w:r>
      <w:r w:rsidRPr="00357542"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F750E" w:rsidRPr="00357542" w:rsidRDefault="00BF750E" w:rsidP="00BF750E">
      <w:pPr>
        <w:autoSpaceDE w:val="0"/>
        <w:autoSpaceDN w:val="0"/>
        <w:adjustRightInd w:val="0"/>
        <w:ind w:firstLine="720"/>
      </w:pPr>
      <w:r w:rsidRPr="00357542">
        <w:t xml:space="preserve">  Для муниципального образования, в отношении которого осуществляются меры, предусмотренные </w:t>
      </w:r>
      <w:hyperlink w:anchor="sub_1364" w:history="1">
        <w:r w:rsidRPr="00357542">
          <w:t>пунктом 4 статьи 136</w:t>
        </w:r>
      </w:hyperlink>
      <w:r w:rsidRPr="00357542"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F750E" w:rsidRPr="00357542" w:rsidRDefault="00BF750E" w:rsidP="00BF750E">
      <w:pPr>
        <w:autoSpaceDE w:val="0"/>
        <w:autoSpaceDN w:val="0"/>
        <w:adjustRightInd w:val="0"/>
        <w:ind w:firstLine="720"/>
      </w:pPr>
      <w:r w:rsidRPr="00357542">
        <w:t xml:space="preserve">   </w:t>
      </w:r>
      <w:proofErr w:type="gramStart"/>
      <w:r w:rsidRPr="00357542">
        <w:t xml:space="preserve"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</w:t>
      </w:r>
      <w:r w:rsidRPr="00357542">
        <w:lastRenderedPageBreak/>
        <w:t>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357542">
        <w:t xml:space="preserve"> и снижения остатков средств на счетах по учету средств местного бюджета.</w:t>
      </w:r>
    </w:p>
    <w:p w:rsidR="00BF750E" w:rsidRPr="00E45C25" w:rsidRDefault="00BF750E" w:rsidP="00BF750E">
      <w:r w:rsidRPr="00E45C25">
        <w:t xml:space="preserve">                 В составе источников финансирования дефицита местного бюджета планировались:</w:t>
      </w:r>
    </w:p>
    <w:p w:rsidR="00BF750E" w:rsidRPr="00E45C25" w:rsidRDefault="00BF750E" w:rsidP="00BF750E">
      <w:r w:rsidRPr="00E45C25">
        <w:t xml:space="preserve">                - снижения остатков средств на счетах по учету средств местного бюджета  в сумме 4 731 122,38 руб.</w:t>
      </w:r>
    </w:p>
    <w:p w:rsidR="00BF750E" w:rsidRPr="00E45C25" w:rsidRDefault="00BF750E" w:rsidP="00BF750E">
      <w:r w:rsidRPr="00E45C25">
        <w:t xml:space="preserve">                На основании вышеизложенного, запланированный дефицит бюджета в размере 4 731 122,38 руб. можно признать обоснованным.</w:t>
      </w:r>
    </w:p>
    <w:p w:rsidR="00BF750E" w:rsidRPr="00E45C25" w:rsidRDefault="00BF750E" w:rsidP="00BF750E">
      <w:r w:rsidRPr="00E45C25">
        <w:t xml:space="preserve">               Фактически финансовый год был закончен с превышение доходов над расходами (</w:t>
      </w:r>
      <w:proofErr w:type="spellStart"/>
      <w:r w:rsidRPr="00E45C25">
        <w:t>профицитом</w:t>
      </w:r>
      <w:proofErr w:type="spellEnd"/>
      <w:r w:rsidRPr="00E45C25">
        <w:t xml:space="preserve">) в размере 4 205 627,96 руб. </w:t>
      </w:r>
    </w:p>
    <w:p w:rsidR="00BF750E" w:rsidRPr="0080114E" w:rsidRDefault="00BF750E" w:rsidP="00BF750E">
      <w:pPr>
        <w:rPr>
          <w:color w:val="0000FF"/>
        </w:rPr>
      </w:pPr>
    </w:p>
    <w:p w:rsidR="00BF750E" w:rsidRDefault="00BF750E" w:rsidP="00BF750E">
      <w:r w:rsidRPr="007C46E6">
        <w:t xml:space="preserve">              В бюджете муниципального образования Зубцовский район на 2018 год не планировалось привлечение заемных средств от других бюджетов бюджетной системы РФ, фактически в 2018</w:t>
      </w:r>
      <w:r>
        <w:t xml:space="preserve"> году заемные</w:t>
      </w:r>
      <w:r w:rsidRPr="007C46E6">
        <w:t xml:space="preserve"> средств</w:t>
      </w:r>
      <w:r>
        <w:t>а</w:t>
      </w:r>
      <w:r w:rsidRPr="007C46E6">
        <w:t xml:space="preserve"> не привлекались.</w:t>
      </w:r>
    </w:p>
    <w:p w:rsidR="00BF750E" w:rsidRPr="0084636C" w:rsidRDefault="00BF750E" w:rsidP="00BF750E">
      <w:r>
        <w:t xml:space="preserve">              </w:t>
      </w:r>
      <w:r w:rsidRPr="0084636C">
        <w:t>Долговые обязательства муниципального образования «Зубцовский район</w:t>
      </w:r>
      <w:r>
        <w:t>» по состоянию на 01 января 2019</w:t>
      </w:r>
      <w:r w:rsidRPr="0084636C">
        <w:t xml:space="preserve"> года, согласно договору № 2 от 28.06.2017 года о предоставлении из областного бюджета Тверской области бюджетного кредита составляют 2 600 000 руб. </w:t>
      </w:r>
    </w:p>
    <w:p w:rsidR="00BF750E" w:rsidRDefault="00BF750E" w:rsidP="00BF750E">
      <w:r>
        <w:t xml:space="preserve">              </w:t>
      </w:r>
      <w:r w:rsidRPr="0084636C">
        <w:t xml:space="preserve">Погашение долговых обязательств в размере 2 600 000 руб. запланировано </w:t>
      </w:r>
      <w:proofErr w:type="gramStart"/>
      <w:r w:rsidRPr="0084636C">
        <w:t>в</w:t>
      </w:r>
      <w:proofErr w:type="gramEnd"/>
      <w:r w:rsidRPr="0084636C">
        <w:t xml:space="preserve"> </w:t>
      </w:r>
    </w:p>
    <w:p w:rsidR="00BF750E" w:rsidRPr="0084636C" w:rsidRDefault="00BF750E" w:rsidP="00BF750E">
      <w:r w:rsidRPr="0084636C">
        <w:t>2019 году.</w:t>
      </w:r>
    </w:p>
    <w:p w:rsidR="00BF750E" w:rsidRPr="007C46E6" w:rsidRDefault="00BF750E" w:rsidP="00BF750E">
      <w:r w:rsidRPr="007C46E6">
        <w:t xml:space="preserve">              Погашение долговых обязательств в 2018 году не планировалось и фактически погашение долговых обязательств не осуществлялось.</w:t>
      </w:r>
    </w:p>
    <w:p w:rsidR="00811413" w:rsidRPr="00811413" w:rsidRDefault="00BF750E" w:rsidP="00811413">
      <w:pPr>
        <w:rPr>
          <w:sz w:val="16"/>
          <w:szCs w:val="16"/>
        </w:rPr>
      </w:pPr>
      <w:r w:rsidRPr="0080114E">
        <w:rPr>
          <w:color w:val="0000FF"/>
        </w:rPr>
        <w:t xml:space="preserve">            </w:t>
      </w:r>
    </w:p>
    <w:p w:rsidR="00E320A7" w:rsidRPr="00811413" w:rsidRDefault="00811413" w:rsidP="007A36FD">
      <w:r w:rsidRPr="005F27B7">
        <w:rPr>
          <w:color w:val="0000FF"/>
        </w:rPr>
        <w:t xml:space="preserve">     </w:t>
      </w:r>
      <w:r w:rsidR="00BF750E">
        <w:t xml:space="preserve">      </w:t>
      </w:r>
      <w:r w:rsidR="004C5C0F" w:rsidRPr="00811413">
        <w:t xml:space="preserve"> </w:t>
      </w:r>
      <w:r w:rsidR="00EE3526" w:rsidRPr="00811413">
        <w:t xml:space="preserve"> </w:t>
      </w:r>
      <w:r w:rsidR="004C5C0F" w:rsidRPr="00811413">
        <w:t xml:space="preserve"> </w:t>
      </w:r>
      <w:r w:rsidR="00E320A7" w:rsidRPr="00811413">
        <w:rPr>
          <w:b/>
        </w:rPr>
        <w:t xml:space="preserve">По результатам экспертно-аналитического мероприятия </w:t>
      </w:r>
      <w:r w:rsidR="00E320A7" w:rsidRPr="00811413">
        <w:t>подготовлено заключение на</w:t>
      </w:r>
      <w:r w:rsidR="00D05B13" w:rsidRPr="00811413">
        <w:t xml:space="preserve"> </w:t>
      </w:r>
      <w:r w:rsidR="004C5C0F" w:rsidRPr="00811413">
        <w:t>проект</w:t>
      </w:r>
      <w:r w:rsidRPr="00811413">
        <w:t xml:space="preserve"> </w:t>
      </w:r>
      <w:r w:rsidR="007A36FD" w:rsidRPr="005F27B7">
        <w:t>решения Собрания депутатов Зубцовского района «Об утверждении отчета об исполнении бюджета муниципального образования «Зубцовский район» за 201</w:t>
      </w:r>
      <w:r w:rsidR="007A36FD">
        <w:t>8</w:t>
      </w:r>
      <w:r w:rsidR="007A36FD" w:rsidRPr="005F27B7">
        <w:t xml:space="preserve"> год»</w:t>
      </w:r>
      <w:r w:rsidR="007A36FD">
        <w:t xml:space="preserve"> </w:t>
      </w:r>
      <w:r w:rsidR="00D05B13" w:rsidRPr="00811413">
        <w:t xml:space="preserve"> </w:t>
      </w:r>
      <w:r w:rsidR="004C5C0F" w:rsidRPr="00811413">
        <w:t xml:space="preserve">от </w:t>
      </w:r>
      <w:r w:rsidR="007A36FD">
        <w:t>19</w:t>
      </w:r>
      <w:r w:rsidR="006E6DD1" w:rsidRPr="00811413">
        <w:t xml:space="preserve"> апреля</w:t>
      </w:r>
      <w:r w:rsidR="007A36FD">
        <w:t xml:space="preserve"> 2019</w:t>
      </w:r>
      <w:r w:rsidR="0054367D" w:rsidRPr="00811413">
        <w:t xml:space="preserve"> года</w:t>
      </w:r>
      <w:r w:rsidR="004C5C0F" w:rsidRPr="00811413">
        <w:t xml:space="preserve"> </w:t>
      </w:r>
      <w:r w:rsidR="00DE4DDC" w:rsidRPr="00811413">
        <w:t xml:space="preserve">и </w:t>
      </w:r>
      <w:r w:rsidR="004C5C0F" w:rsidRPr="00811413">
        <w:t>направлено в Со</w:t>
      </w:r>
      <w:r w:rsidR="006E6DD1" w:rsidRPr="00811413">
        <w:t>брание</w:t>
      </w:r>
      <w:r w:rsidR="004C5C0F" w:rsidRPr="00811413">
        <w:t xml:space="preserve"> депутатов </w:t>
      </w:r>
      <w:r w:rsidR="006E6DD1" w:rsidRPr="00811413">
        <w:t>Зубцовского района</w:t>
      </w:r>
      <w:r w:rsidR="004C5C0F" w:rsidRPr="00811413">
        <w:t xml:space="preserve"> </w:t>
      </w:r>
      <w:r w:rsidR="0054367D" w:rsidRPr="00811413">
        <w:t xml:space="preserve">и </w:t>
      </w:r>
      <w:r w:rsidR="004C5C0F" w:rsidRPr="00811413">
        <w:t>Финансовый отдел Администрации Зубцовского района.</w:t>
      </w:r>
    </w:p>
    <w:sectPr w:rsidR="00E320A7" w:rsidRPr="00811413" w:rsidSect="00F4687C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185D"/>
    <w:rsid w:val="000223FD"/>
    <w:rsid w:val="0005291E"/>
    <w:rsid w:val="00052DA8"/>
    <w:rsid w:val="00063C8D"/>
    <w:rsid w:val="00066100"/>
    <w:rsid w:val="00071304"/>
    <w:rsid w:val="000A109B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02FB"/>
    <w:rsid w:val="004F215F"/>
    <w:rsid w:val="0050686C"/>
    <w:rsid w:val="00514B0D"/>
    <w:rsid w:val="00525DC0"/>
    <w:rsid w:val="005267C1"/>
    <w:rsid w:val="00531E1E"/>
    <w:rsid w:val="0053555C"/>
    <w:rsid w:val="0053725A"/>
    <w:rsid w:val="0054367D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3204"/>
    <w:rsid w:val="006D6244"/>
    <w:rsid w:val="006D6738"/>
    <w:rsid w:val="006E6DD1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A36FD"/>
    <w:rsid w:val="007B0BA9"/>
    <w:rsid w:val="007B4B15"/>
    <w:rsid w:val="007B709C"/>
    <w:rsid w:val="007D25DF"/>
    <w:rsid w:val="007E506E"/>
    <w:rsid w:val="007F1F6A"/>
    <w:rsid w:val="007F59EF"/>
    <w:rsid w:val="00800758"/>
    <w:rsid w:val="008016E2"/>
    <w:rsid w:val="00801E5E"/>
    <w:rsid w:val="00804CC7"/>
    <w:rsid w:val="00805B3A"/>
    <w:rsid w:val="00806F83"/>
    <w:rsid w:val="00811413"/>
    <w:rsid w:val="00813BD3"/>
    <w:rsid w:val="00826814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3B5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0D99"/>
    <w:rsid w:val="00B261DF"/>
    <w:rsid w:val="00B7407E"/>
    <w:rsid w:val="00B9119C"/>
    <w:rsid w:val="00B9258D"/>
    <w:rsid w:val="00BA490F"/>
    <w:rsid w:val="00BB2165"/>
    <w:rsid w:val="00BB63FC"/>
    <w:rsid w:val="00BD43DC"/>
    <w:rsid w:val="00BE6EF0"/>
    <w:rsid w:val="00BF570C"/>
    <w:rsid w:val="00BF750E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23914"/>
    <w:rsid w:val="00D35E60"/>
    <w:rsid w:val="00D476E8"/>
    <w:rsid w:val="00D53F61"/>
    <w:rsid w:val="00D55DFB"/>
    <w:rsid w:val="00D65CDD"/>
    <w:rsid w:val="00D90250"/>
    <w:rsid w:val="00DC30AC"/>
    <w:rsid w:val="00DD5CF2"/>
    <w:rsid w:val="00DE16EE"/>
    <w:rsid w:val="00DE2E16"/>
    <w:rsid w:val="00DE4DDC"/>
    <w:rsid w:val="00DF0649"/>
    <w:rsid w:val="00DF4996"/>
    <w:rsid w:val="00E177DF"/>
    <w:rsid w:val="00E24DA3"/>
    <w:rsid w:val="00E320A7"/>
    <w:rsid w:val="00E3348A"/>
    <w:rsid w:val="00E337E9"/>
    <w:rsid w:val="00E36E1B"/>
    <w:rsid w:val="00E4102D"/>
    <w:rsid w:val="00E44573"/>
    <w:rsid w:val="00E63C2B"/>
    <w:rsid w:val="00E71762"/>
    <w:rsid w:val="00E72CCB"/>
    <w:rsid w:val="00E74827"/>
    <w:rsid w:val="00E87995"/>
    <w:rsid w:val="00EB20E9"/>
    <w:rsid w:val="00EB2E2E"/>
    <w:rsid w:val="00EB5059"/>
    <w:rsid w:val="00ED7580"/>
    <w:rsid w:val="00EE3526"/>
    <w:rsid w:val="00EE7B00"/>
    <w:rsid w:val="00F25EDE"/>
    <w:rsid w:val="00F27574"/>
    <w:rsid w:val="00F4326E"/>
    <w:rsid w:val="00F4687C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27</cp:revision>
  <dcterms:created xsi:type="dcterms:W3CDTF">2016-01-18T07:44:00Z</dcterms:created>
  <dcterms:modified xsi:type="dcterms:W3CDTF">2019-05-06T10:43:00Z</dcterms:modified>
</cp:coreProperties>
</file>